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A0" w:rsidRDefault="008C4D67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THƯ CAM KẾT TUÂN THỦ CẤM VẬN CỦA KHÁCH HÀNG</w:t>
      </w:r>
    </w:p>
    <w:p w:rsidR="00903EA0" w:rsidRDefault="00903EA0">
      <w:pPr>
        <w:spacing w:before="120" w:after="120" w:line="260" w:lineRule="exact"/>
        <w:rPr>
          <w:rFonts w:ascii="Times New Roman" w:hAnsi="Times New Roman" w:cs="Times New Roman"/>
          <w:b/>
          <w:sz w:val="28"/>
          <w:szCs w:val="28"/>
        </w:rPr>
      </w:pPr>
    </w:p>
    <w:p w:rsidR="00903EA0" w:rsidRDefault="008C4D67">
      <w:pPr>
        <w:spacing w:before="120" w:after="120" w:line="260" w:lineRule="exac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TMCP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Nam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03EA0" w:rsidRDefault="00903EA0">
      <w:pPr>
        <w:spacing w:before="120" w:after="120" w:line="360" w:lineRule="exact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03EA0" w:rsidRDefault="008C4D67">
      <w:pPr>
        <w:spacing w:before="120" w:after="120" w:line="360" w:lineRule="exact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THƯ CAM KẾT </w:t>
      </w:r>
    </w:p>
    <w:p w:rsidR="00903EA0" w:rsidRDefault="008C4D67">
      <w:pPr>
        <w:spacing w:before="120" w:after="120" w:line="36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V/v: Cam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tuân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Cấm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</w:p>
    <w:p w:rsidR="00903EA0" w:rsidRDefault="00903EA0">
      <w:pPr>
        <w:spacing w:before="120" w:after="120" w:line="36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3EA0" w:rsidRDefault="008C4D67">
      <w:pPr>
        <w:tabs>
          <w:tab w:val="left" w:leader="dot" w:pos="3402"/>
          <w:tab w:val="left" w:leader="dot" w:pos="8640"/>
        </w:tabs>
        <w:spacing w:before="120" w:after="12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630A5D">
        <w:rPr>
          <w:rFonts w:ascii="Times New Roman" w:hAnsi="Times New Roman" w:cs="Times New Roman"/>
          <w:sz w:val="28"/>
          <w:szCs w:val="28"/>
        </w:rPr>
        <w:t xml:space="preserve"> CÔNG TY TNHH ĐẦU TƯ ĐỖ</w:t>
      </w:r>
    </w:p>
    <w:p w:rsidR="00903EA0" w:rsidRDefault="008C4D67">
      <w:pPr>
        <w:tabs>
          <w:tab w:val="left" w:leader="dot" w:pos="3402"/>
          <w:tab w:val="left" w:leader="dot" w:pos="8640"/>
        </w:tabs>
        <w:spacing w:before="120" w:after="12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30A5D">
        <w:rPr>
          <w:rFonts w:ascii="Times New Roman" w:hAnsi="Times New Roman" w:cs="Times New Roman"/>
          <w:sz w:val="28"/>
          <w:szCs w:val="28"/>
        </w:rPr>
        <w:t xml:space="preserve"> 0313805387</w:t>
      </w:r>
    </w:p>
    <w:p w:rsidR="00903EA0" w:rsidRDefault="008C4D67">
      <w:pPr>
        <w:tabs>
          <w:tab w:val="left" w:leader="dot" w:pos="3402"/>
          <w:tab w:val="left" w:leader="dot" w:pos="8640"/>
        </w:tabs>
        <w:spacing w:before="120" w:after="12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0A5D">
        <w:rPr>
          <w:rFonts w:ascii="Times New Roman" w:hAnsi="Times New Roman" w:cs="Times New Roman"/>
          <w:sz w:val="28"/>
          <w:szCs w:val="28"/>
        </w:rPr>
        <w:t xml:space="preserve">176/11 </w:t>
      </w:r>
      <w:proofErr w:type="spellStart"/>
      <w:r w:rsidR="00630A5D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630A5D">
        <w:rPr>
          <w:rFonts w:ascii="Times New Roman" w:hAnsi="Times New Roman" w:cs="Times New Roman"/>
          <w:sz w:val="28"/>
          <w:szCs w:val="28"/>
        </w:rPr>
        <w:t xml:space="preserve"> Lai, </w:t>
      </w:r>
      <w:proofErr w:type="spellStart"/>
      <w:r w:rsidR="00630A5D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630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5D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630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5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30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A5D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630A5D">
        <w:rPr>
          <w:rFonts w:ascii="Times New Roman" w:hAnsi="Times New Roman" w:cs="Times New Roman"/>
          <w:sz w:val="28"/>
          <w:szCs w:val="28"/>
        </w:rPr>
        <w:t xml:space="preserve"> 1, Tp. </w:t>
      </w:r>
      <w:proofErr w:type="spellStart"/>
      <w:r w:rsidR="00630A5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630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5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630A5D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124AF1" w:rsidRPr="00124AF1" w:rsidRDefault="008C4D67" w:rsidP="00124AF1">
      <w:pPr>
        <w:pStyle w:val="NormalWeb"/>
        <w:tabs>
          <w:tab w:val="left" w:pos="1985"/>
        </w:tabs>
        <w:spacing w:before="0" w:after="0" w:line="3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:</w:t>
      </w:r>
      <w:r w:rsidR="00124AF1">
        <w:rPr>
          <w:sz w:val="28"/>
          <w:szCs w:val="28"/>
        </w:rPr>
        <w:t xml:space="preserve"> </w:t>
      </w:r>
      <w:r w:rsidR="00124AF1">
        <w:rPr>
          <w:color w:val="000000"/>
          <w:sz w:val="28"/>
          <w:szCs w:val="28"/>
        </w:rPr>
        <w:tab/>
      </w:r>
      <w:r w:rsidR="00124AF1" w:rsidRPr="00124AF1">
        <w:rPr>
          <w:sz w:val="28"/>
          <w:szCs w:val="28"/>
        </w:rPr>
        <w:t>USD: 1042855266</w:t>
      </w:r>
    </w:p>
    <w:p w:rsidR="00124AF1" w:rsidRDefault="00124AF1" w:rsidP="00124AF1">
      <w:pPr>
        <w:pStyle w:val="NormalWeb"/>
        <w:tabs>
          <w:tab w:val="left" w:pos="1985"/>
        </w:tabs>
        <w:spacing w:before="0" w:after="0" w:line="300" w:lineRule="atLeast"/>
        <w:jc w:val="both"/>
        <w:rPr>
          <w:color w:val="000000"/>
          <w:sz w:val="28"/>
          <w:szCs w:val="28"/>
        </w:rPr>
      </w:pPr>
      <w:r w:rsidRPr="00124AF1">
        <w:rPr>
          <w:sz w:val="28"/>
          <w:szCs w:val="28"/>
        </w:rPr>
        <w:tab/>
        <w:t>VND: 1042855165</w:t>
      </w:r>
      <w:r>
        <w:rPr>
          <w:color w:val="000000"/>
          <w:sz w:val="28"/>
          <w:szCs w:val="28"/>
        </w:rPr>
        <w:t xml:space="preserve"> </w:t>
      </w:r>
    </w:p>
    <w:p w:rsidR="00903EA0" w:rsidRPr="00124AF1" w:rsidRDefault="008C4D67" w:rsidP="00124AF1">
      <w:pPr>
        <w:pStyle w:val="NormalWeb"/>
        <w:tabs>
          <w:tab w:val="left" w:pos="1985"/>
        </w:tabs>
        <w:spacing w:before="0" w:after="0" w:line="3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>:</w:t>
      </w:r>
      <w:r w:rsidR="00630A5D">
        <w:rPr>
          <w:sz w:val="28"/>
          <w:szCs w:val="28"/>
        </w:rPr>
        <w:t xml:space="preserve"> </w:t>
      </w:r>
      <w:proofErr w:type="spellStart"/>
      <w:r w:rsidR="00630A5D">
        <w:rPr>
          <w:sz w:val="28"/>
          <w:szCs w:val="28"/>
        </w:rPr>
        <w:t>Ngân</w:t>
      </w:r>
      <w:proofErr w:type="spellEnd"/>
      <w:r w:rsidR="00630A5D">
        <w:rPr>
          <w:sz w:val="28"/>
          <w:szCs w:val="28"/>
        </w:rPr>
        <w:t xml:space="preserve"> </w:t>
      </w:r>
      <w:proofErr w:type="spellStart"/>
      <w:r w:rsidR="00630A5D">
        <w:rPr>
          <w:sz w:val="28"/>
          <w:szCs w:val="28"/>
        </w:rPr>
        <w:t>hàng</w:t>
      </w:r>
      <w:proofErr w:type="spellEnd"/>
      <w:r w:rsidR="00630A5D">
        <w:rPr>
          <w:sz w:val="28"/>
          <w:szCs w:val="28"/>
        </w:rPr>
        <w:t xml:space="preserve"> TMCP </w:t>
      </w:r>
      <w:proofErr w:type="spellStart"/>
      <w:r w:rsidR="00630A5D">
        <w:rPr>
          <w:sz w:val="28"/>
          <w:szCs w:val="28"/>
        </w:rPr>
        <w:t>Ngoại</w:t>
      </w:r>
      <w:proofErr w:type="spellEnd"/>
      <w:r w:rsidR="00630A5D">
        <w:rPr>
          <w:sz w:val="28"/>
          <w:szCs w:val="28"/>
        </w:rPr>
        <w:t xml:space="preserve"> </w:t>
      </w:r>
      <w:proofErr w:type="spellStart"/>
      <w:r w:rsidR="00630A5D">
        <w:rPr>
          <w:sz w:val="28"/>
          <w:szCs w:val="28"/>
        </w:rPr>
        <w:t>thương</w:t>
      </w:r>
      <w:proofErr w:type="spellEnd"/>
      <w:r w:rsidR="00630A5D">
        <w:rPr>
          <w:sz w:val="28"/>
          <w:szCs w:val="28"/>
        </w:rPr>
        <w:t xml:space="preserve"> </w:t>
      </w:r>
      <w:proofErr w:type="spellStart"/>
      <w:r w:rsidR="00630A5D">
        <w:rPr>
          <w:sz w:val="28"/>
          <w:szCs w:val="28"/>
        </w:rPr>
        <w:t>Việt</w:t>
      </w:r>
      <w:proofErr w:type="spellEnd"/>
      <w:r w:rsidR="00630A5D">
        <w:rPr>
          <w:sz w:val="28"/>
          <w:szCs w:val="28"/>
        </w:rPr>
        <w:t xml:space="preserve"> Nam</w:t>
      </w:r>
      <w:r w:rsidR="007D7ADF">
        <w:rPr>
          <w:sz w:val="28"/>
          <w:szCs w:val="28"/>
        </w:rPr>
        <w:t xml:space="preserve"> – CN </w:t>
      </w:r>
      <w:proofErr w:type="spellStart"/>
      <w:r w:rsidR="007D7ADF">
        <w:rPr>
          <w:sz w:val="28"/>
          <w:szCs w:val="28"/>
        </w:rPr>
        <w:t>Tân</w:t>
      </w:r>
      <w:proofErr w:type="spellEnd"/>
      <w:r w:rsidR="007D7ADF">
        <w:rPr>
          <w:sz w:val="28"/>
          <w:szCs w:val="28"/>
        </w:rPr>
        <w:t xml:space="preserve"> </w:t>
      </w:r>
      <w:proofErr w:type="spellStart"/>
      <w:r w:rsidR="007D7ADF">
        <w:rPr>
          <w:sz w:val="28"/>
          <w:szCs w:val="28"/>
        </w:rPr>
        <w:t>Định</w:t>
      </w:r>
      <w:proofErr w:type="spellEnd"/>
    </w:p>
    <w:p w:rsidR="00903EA0" w:rsidRDefault="008C4D67">
      <w:pPr>
        <w:spacing w:before="120" w:after="120" w:line="4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03EA0" w:rsidRDefault="008C4D67">
      <w:pPr>
        <w:pStyle w:val="ListParagraph"/>
        <w:numPr>
          <w:ilvl w:val="0"/>
          <w:numId w:val="1"/>
        </w:numPr>
        <w:tabs>
          <w:tab w:val="left" w:pos="450"/>
        </w:tabs>
        <w:spacing w:before="120" w:after="120" w:line="400" w:lineRule="exact"/>
        <w:ind w:left="450" w:hanging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</w:p>
    <w:p w:rsidR="00903EA0" w:rsidRDefault="008C4D67">
      <w:pPr>
        <w:pStyle w:val="ListParagraph"/>
        <w:numPr>
          <w:ilvl w:val="0"/>
          <w:numId w:val="1"/>
        </w:numPr>
        <w:tabs>
          <w:tab w:val="left" w:pos="450"/>
        </w:tabs>
        <w:spacing w:before="120" w:after="120" w:line="400" w:lineRule="exact"/>
        <w:ind w:left="450" w:hanging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>, Iran, Syria, Sudan và Crimea).</w:t>
      </w:r>
    </w:p>
    <w:p w:rsidR="00903EA0" w:rsidRDefault="008C4D67">
      <w:pPr>
        <w:tabs>
          <w:tab w:val="left" w:pos="450"/>
        </w:tabs>
        <w:spacing w:before="120" w:after="120" w:line="4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ý,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EA0" w:rsidRDefault="00903EA0">
      <w:pPr>
        <w:spacing w:before="120" w:after="12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EA0" w:rsidRDefault="008C4D67">
      <w:pPr>
        <w:spacing w:before="120" w:after="12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EA0" w:rsidRDefault="008C4D67">
      <w:pPr>
        <w:spacing w:before="120" w:after="12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</w:t>
      </w:r>
    </w:p>
    <w:p w:rsidR="00903EA0" w:rsidRDefault="00903EA0">
      <w:pPr>
        <w:spacing w:before="120" w:after="12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3473"/>
        <w:gridCol w:w="3273"/>
      </w:tblGrid>
      <w:tr w:rsidR="00903EA0">
        <w:tc>
          <w:tcPr>
            <w:tcW w:w="2542" w:type="dxa"/>
            <w:shd w:val="clear" w:color="auto" w:fill="auto"/>
          </w:tcPr>
          <w:p w:rsidR="00903EA0" w:rsidRDefault="00903EA0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903EA0" w:rsidRDefault="008C4D67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EA0" w:rsidRDefault="008C4D67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3273" w:type="dxa"/>
            <w:shd w:val="clear" w:color="auto" w:fill="auto"/>
          </w:tcPr>
          <w:p w:rsidR="00903EA0" w:rsidRDefault="008C4D67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EA0" w:rsidRDefault="008C4D67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</w:p>
        </w:tc>
      </w:tr>
      <w:tr w:rsidR="00903EA0" w:rsidTr="00FA5861">
        <w:trPr>
          <w:trHeight w:val="368"/>
        </w:trPr>
        <w:tc>
          <w:tcPr>
            <w:tcW w:w="2542" w:type="dxa"/>
            <w:shd w:val="clear" w:color="auto" w:fill="auto"/>
          </w:tcPr>
          <w:p w:rsidR="00903EA0" w:rsidRDefault="008C4D67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3473" w:type="dxa"/>
            <w:shd w:val="clear" w:color="auto" w:fill="auto"/>
            <w:vAlign w:val="center"/>
          </w:tcPr>
          <w:p w:rsidR="00903EA0" w:rsidRDefault="00FA5861" w:rsidP="00FA5861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HỮU ĐỨC</w:t>
            </w:r>
          </w:p>
        </w:tc>
        <w:tc>
          <w:tcPr>
            <w:tcW w:w="3273" w:type="dxa"/>
            <w:shd w:val="clear" w:color="auto" w:fill="auto"/>
          </w:tcPr>
          <w:p w:rsidR="00903EA0" w:rsidRDefault="00903EA0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A0" w:rsidTr="00FA5861">
        <w:trPr>
          <w:trHeight w:val="402"/>
        </w:trPr>
        <w:tc>
          <w:tcPr>
            <w:tcW w:w="2542" w:type="dxa"/>
            <w:shd w:val="clear" w:color="auto" w:fill="auto"/>
          </w:tcPr>
          <w:p w:rsidR="00903EA0" w:rsidRDefault="008C4D67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3473" w:type="dxa"/>
            <w:shd w:val="clear" w:color="auto" w:fill="auto"/>
            <w:vAlign w:val="center"/>
          </w:tcPr>
          <w:p w:rsidR="00903EA0" w:rsidRDefault="00FA5861" w:rsidP="00FA5861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GIÁM ĐỐC</w:t>
            </w:r>
          </w:p>
        </w:tc>
        <w:tc>
          <w:tcPr>
            <w:tcW w:w="3273" w:type="dxa"/>
            <w:shd w:val="clear" w:color="auto" w:fill="auto"/>
          </w:tcPr>
          <w:p w:rsidR="00903EA0" w:rsidRDefault="00903EA0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A0">
        <w:trPr>
          <w:trHeight w:val="1689"/>
        </w:trPr>
        <w:tc>
          <w:tcPr>
            <w:tcW w:w="2542" w:type="dxa"/>
            <w:shd w:val="clear" w:color="auto" w:fill="auto"/>
            <w:vAlign w:val="center"/>
          </w:tcPr>
          <w:p w:rsidR="00903EA0" w:rsidRDefault="008C4D67">
            <w:pPr>
              <w:spacing w:line="32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</w:p>
        </w:tc>
        <w:tc>
          <w:tcPr>
            <w:tcW w:w="3473" w:type="dxa"/>
            <w:shd w:val="clear" w:color="auto" w:fill="auto"/>
          </w:tcPr>
          <w:p w:rsidR="00903EA0" w:rsidRDefault="00903EA0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shd w:val="clear" w:color="auto" w:fill="auto"/>
          </w:tcPr>
          <w:p w:rsidR="00903EA0" w:rsidRDefault="00903EA0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EA0" w:rsidRDefault="00903EA0"/>
    <w:sectPr w:rsidR="00903EA0" w:rsidSect="00FA1645">
      <w:pgSz w:w="11907" w:h="16840" w:code="9"/>
      <w:pgMar w:top="902" w:right="1134" w:bottom="24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3BE"/>
    <w:multiLevelType w:val="hybridMultilevel"/>
    <w:tmpl w:val="90CA3BFA"/>
    <w:lvl w:ilvl="0" w:tplc="BD60886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A0"/>
    <w:rsid w:val="00054136"/>
    <w:rsid w:val="00124AF1"/>
    <w:rsid w:val="003C0A53"/>
    <w:rsid w:val="0048197C"/>
    <w:rsid w:val="00630A5D"/>
    <w:rsid w:val="006779E7"/>
    <w:rsid w:val="007B62CE"/>
    <w:rsid w:val="007D7ADF"/>
    <w:rsid w:val="008C4D67"/>
    <w:rsid w:val="00903EA0"/>
    <w:rsid w:val="00AE73F5"/>
    <w:rsid w:val="00FA1645"/>
    <w:rsid w:val="00F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List Paragraph1,bullet"/>
    <w:basedOn w:val="Normal"/>
    <w:link w:val="ListParagraphChar"/>
    <w:uiPriority w:val="34"/>
    <w:qFormat/>
    <w:pPr>
      <w:ind w:left="720"/>
    </w:pPr>
  </w:style>
  <w:style w:type="character" w:customStyle="1" w:styleId="ListParagraphChar">
    <w:name w:val="List Paragraph Char"/>
    <w:aliases w:val="bullet 1 Char,List Paragraph1 Char,bullet Char"/>
    <w:link w:val="ListParagraph"/>
    <w:uiPriority w:val="34"/>
    <w:locked/>
    <w:rPr>
      <w:rFonts w:ascii="Calibri" w:eastAsia="Calibri" w:hAnsi="Calibri" w:cs="Calibri"/>
    </w:rPr>
  </w:style>
  <w:style w:type="paragraph" w:styleId="NormalWeb">
    <w:name w:val="Normal (Web)"/>
    <w:basedOn w:val="Normal"/>
    <w:rsid w:val="00124AF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List Paragraph1,bullet"/>
    <w:basedOn w:val="Normal"/>
    <w:link w:val="ListParagraphChar"/>
    <w:uiPriority w:val="34"/>
    <w:qFormat/>
    <w:pPr>
      <w:ind w:left="720"/>
    </w:pPr>
  </w:style>
  <w:style w:type="character" w:customStyle="1" w:styleId="ListParagraphChar">
    <w:name w:val="List Paragraph Char"/>
    <w:aliases w:val="bullet 1 Char,List Paragraph1 Char,bullet Char"/>
    <w:link w:val="ListParagraph"/>
    <w:uiPriority w:val="34"/>
    <w:locked/>
    <w:rPr>
      <w:rFonts w:ascii="Calibri" w:eastAsia="Calibri" w:hAnsi="Calibri" w:cs="Calibri"/>
    </w:rPr>
  </w:style>
  <w:style w:type="paragraph" w:styleId="NormalWeb">
    <w:name w:val="Normal (Web)"/>
    <w:basedOn w:val="Normal"/>
    <w:rsid w:val="00124AF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FF05-B2CB-4BA1-84E4-D25C67C4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Thu Huong (AML Department-HO)</dc:creator>
  <cp:lastModifiedBy>KIM THUAN</cp:lastModifiedBy>
  <cp:revision>2</cp:revision>
  <cp:lastPrinted>2024-11-27T11:57:00Z</cp:lastPrinted>
  <dcterms:created xsi:type="dcterms:W3CDTF">2024-12-03T03:22:00Z</dcterms:created>
  <dcterms:modified xsi:type="dcterms:W3CDTF">2024-12-03T03:22:00Z</dcterms:modified>
</cp:coreProperties>
</file>